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057" w:lineRule="exact" w:before="136"/>
        <w:ind w:left="4971" w:right="0" w:firstLine="0"/>
        <w:jc w:val="left"/>
        <w:rPr>
          <w:rFonts w:ascii="Times New Roman" w:hAnsi="Times New Roman"/>
          <w:b/>
          <w:sz w:val="92"/>
        </w:rPr>
      </w:pPr>
      <w:bookmarkStart w:name="ordenanza 12641 texto" w:id="1"/>
      <w:bookmarkEnd w:id="1"/>
      <w:r>
        <w:rPr/>
      </w:r>
      <w:r>
        <w:rPr>
          <w:w w:val="70"/>
          <w:sz w:val="48"/>
        </w:rPr>
        <w:t>ORDENANZA Nº</w:t>
      </w:r>
      <w:r>
        <w:rPr>
          <w:spacing w:val="-67"/>
          <w:w w:val="70"/>
          <w:sz w:val="48"/>
        </w:rPr>
        <w:t> </w:t>
      </w:r>
      <w:r>
        <w:rPr>
          <w:rFonts w:ascii="Times New Roman" w:hAnsi="Times New Roman"/>
          <w:b/>
          <w:w w:val="70"/>
          <w:sz w:val="92"/>
        </w:rPr>
        <w:t>12641</w:t>
      </w:r>
    </w:p>
    <w:p>
      <w:pPr>
        <w:pStyle w:val="Heading1"/>
        <w:spacing w:line="336" w:lineRule="auto"/>
      </w:pPr>
      <w:r>
        <w:rPr/>
        <w:t>EL HONORABLE CONCEJO MUNICIPAL DE LA CIUDAD DE SANTA FE DE LA VERA CRUZ, SANCIONA LA SIGUIENTE</w:t>
      </w:r>
    </w:p>
    <w:p>
      <w:pPr>
        <w:pStyle w:val="BodyText"/>
        <w:spacing w:before="6"/>
        <w:ind w:left="0"/>
        <w:jc w:val="left"/>
        <w:rPr>
          <w:b/>
          <w:sz w:val="33"/>
        </w:rPr>
      </w:pPr>
    </w:p>
    <w:p>
      <w:pPr>
        <w:spacing w:before="0"/>
        <w:ind w:left="3587" w:right="3615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O R D E N A N Z A</w:t>
      </w:r>
    </w:p>
    <w:p>
      <w:pPr>
        <w:pStyle w:val="BodyText"/>
        <w:spacing w:before="2"/>
        <w:ind w:left="0"/>
        <w:jc w:val="left"/>
        <w:rPr>
          <w:b/>
          <w:sz w:val="26"/>
        </w:rPr>
      </w:pPr>
    </w:p>
    <w:p>
      <w:pPr>
        <w:pStyle w:val="BodyText"/>
        <w:spacing w:line="360" w:lineRule="auto" w:before="93"/>
        <w:ind w:right="127" w:hanging="852"/>
      </w:pPr>
      <w:r>
        <w:rPr>
          <w:b/>
          <w:u w:val="thick"/>
        </w:rPr>
        <w:t>Art. 1º:</w:t>
      </w:r>
      <w:r>
        <w:rPr>
          <w:b/>
        </w:rPr>
        <w:t> </w:t>
      </w:r>
      <w:r>
        <w:rPr/>
        <w:t>Los Administradores de Consorcios de Propiedad Horizontal deben realizar la rendición de expensas de los consorcios que administran según las pautas establecidas en el Anexo Nº 1 que conforman el "modelo único de liquidación de expensas". El modelo podrá adecuarse a las condiciones de cada consorcio pero debe respetar sin excepción la información obligatoria que se detalla a</w:t>
      </w:r>
      <w:r>
        <w:rPr>
          <w:spacing w:val="1"/>
        </w:rPr>
        <w:t> </w:t>
      </w:r>
      <w:r>
        <w:rPr/>
        <w:t>continuación:</w:t>
      </w:r>
    </w:p>
    <w:p>
      <w:pPr>
        <w:pStyle w:val="ListParagraph"/>
        <w:numPr>
          <w:ilvl w:val="0"/>
          <w:numId w:val="1"/>
        </w:numPr>
        <w:tabs>
          <w:tab w:pos="1314" w:val="left" w:leader="none"/>
        </w:tabs>
        <w:spacing w:line="240" w:lineRule="auto" w:before="0" w:after="0"/>
        <w:ind w:left="1313" w:right="0" w:hanging="361"/>
        <w:jc w:val="both"/>
        <w:rPr>
          <w:sz w:val="24"/>
        </w:rPr>
      </w:pPr>
      <w:r>
        <w:rPr>
          <w:sz w:val="24"/>
        </w:rPr>
        <w:t>Datos del consorcio y su administrador (nombre, domicilio,</w:t>
      </w:r>
      <w:r>
        <w:rPr>
          <w:spacing w:val="10"/>
          <w:sz w:val="24"/>
        </w:rPr>
        <w:t> </w:t>
      </w:r>
      <w:r>
        <w:rPr>
          <w:sz w:val="24"/>
        </w:rPr>
        <w:t>teléfono,</w:t>
      </w:r>
    </w:p>
    <w:p>
      <w:pPr>
        <w:pStyle w:val="BodyText"/>
        <w:spacing w:line="360" w:lineRule="auto" w:before="137"/>
        <w:ind w:right="131"/>
      </w:pPr>
      <w:r>
        <w:rPr/>
        <w:t>C.U.I.T. o C.U.I.L., Nº de inscripción en el registro que prevé la Ordenanza Nº 12.603);</w:t>
      </w:r>
    </w:p>
    <w:p>
      <w:pPr>
        <w:pStyle w:val="ListParagraph"/>
        <w:numPr>
          <w:ilvl w:val="0"/>
          <w:numId w:val="1"/>
        </w:numPr>
        <w:tabs>
          <w:tab w:pos="1235" w:val="left" w:leader="none"/>
        </w:tabs>
        <w:spacing w:line="240" w:lineRule="auto" w:before="0" w:after="0"/>
        <w:ind w:left="1234" w:right="0" w:hanging="282"/>
        <w:jc w:val="both"/>
        <w:rPr>
          <w:sz w:val="24"/>
        </w:rPr>
      </w:pPr>
      <w:r>
        <w:rPr>
          <w:sz w:val="24"/>
        </w:rPr>
        <w:t>Constituir un domicilio legal en la Ciudad de Santa</w:t>
      </w:r>
      <w:r>
        <w:rPr>
          <w:spacing w:val="-2"/>
          <w:sz w:val="24"/>
        </w:rPr>
        <w:t> </w:t>
      </w:r>
      <w:r>
        <w:rPr>
          <w:sz w:val="24"/>
        </w:rPr>
        <w:t>Fe;</w:t>
      </w: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360" w:lineRule="auto" w:before="139" w:after="0"/>
        <w:ind w:left="953" w:right="129" w:firstLine="0"/>
        <w:jc w:val="both"/>
        <w:rPr>
          <w:sz w:val="24"/>
        </w:rPr>
      </w:pPr>
      <w:r>
        <w:rPr>
          <w:sz w:val="24"/>
        </w:rPr>
        <w:t>Detalle de los ingresos y egresos del mes anterior y del total de rubros e importes componentes del activo y</w:t>
      </w:r>
      <w:r>
        <w:rPr>
          <w:spacing w:val="-5"/>
          <w:sz w:val="24"/>
        </w:rPr>
        <w:t> </w:t>
      </w:r>
      <w:r>
        <w:rPr>
          <w:sz w:val="24"/>
        </w:rPr>
        <w:t>pasivo;</w:t>
      </w:r>
    </w:p>
    <w:p>
      <w:pPr>
        <w:pStyle w:val="ListParagraph"/>
        <w:numPr>
          <w:ilvl w:val="0"/>
          <w:numId w:val="1"/>
        </w:numPr>
        <w:tabs>
          <w:tab w:pos="1242" w:val="left" w:leader="none"/>
        </w:tabs>
        <w:spacing w:line="360" w:lineRule="auto" w:before="0" w:after="0"/>
        <w:ind w:left="953" w:right="128" w:firstLine="0"/>
        <w:jc w:val="both"/>
        <w:rPr>
          <w:sz w:val="24"/>
        </w:rPr>
      </w:pPr>
      <w:r>
        <w:rPr>
          <w:sz w:val="24"/>
        </w:rPr>
        <w:t>Nombre y cargo del personal del consorcio, indicando su categoría, Nº de C.U.I.L., sueldo básico, horas extras detalladas, período al que corresponde el pago, detalle de descuentos y aportes por cargas sociales a cargo del consorcio con indicación de sus respectivos períodos (en caso de corresponder);</w:t>
      </w: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360" w:lineRule="auto" w:before="0" w:after="0"/>
        <w:ind w:left="953" w:right="125" w:firstLine="0"/>
        <w:jc w:val="both"/>
        <w:rPr>
          <w:sz w:val="24"/>
        </w:rPr>
      </w:pPr>
      <w:r>
        <w:rPr>
          <w:sz w:val="24"/>
        </w:rPr>
        <w:t>Detalle de los pagos por suministros, servicios y abonos a contratistas, indicando trabajo realizado, importe total y en su caso, cantidad de cuotas y número de cuota que se abona;</w:t>
      </w: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953" w:right="129" w:firstLine="0"/>
        <w:jc w:val="both"/>
        <w:rPr>
          <w:sz w:val="24"/>
        </w:rPr>
      </w:pPr>
      <w:r>
        <w:rPr>
          <w:sz w:val="24"/>
        </w:rPr>
        <w:t>Detalle de pagos por seguros, indicando nombre de la compañía, número de póliza, fecha de contratación y vigencia, tipo de seguro y número de la cuota que se</w:t>
      </w:r>
      <w:r>
        <w:rPr>
          <w:spacing w:val="-2"/>
          <w:sz w:val="24"/>
        </w:rPr>
        <w:t> </w:t>
      </w:r>
      <w:r>
        <w:rPr>
          <w:sz w:val="24"/>
        </w:rPr>
        <w:t>abona;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12" w:footer="1172" w:top="1660" w:bottom="1360" w:left="1600" w:right="1000"/>
          <w:pgNumType w:start="1"/>
        </w:sectPr>
      </w:pPr>
    </w:p>
    <w:p>
      <w:pPr>
        <w:spacing w:before="136"/>
        <w:ind w:left="4971" w:right="0" w:firstLine="0"/>
        <w:jc w:val="left"/>
        <w:rPr>
          <w:rFonts w:ascii="Times New Roman" w:hAnsi="Times New Roman"/>
          <w:b/>
          <w:sz w:val="92"/>
        </w:rPr>
      </w:pPr>
      <w:r>
        <w:rPr>
          <w:w w:val="70"/>
          <w:sz w:val="48"/>
        </w:rPr>
        <w:t>ORDENANZA Nº</w:t>
      </w:r>
      <w:r>
        <w:rPr>
          <w:spacing w:val="-67"/>
          <w:w w:val="70"/>
          <w:sz w:val="48"/>
        </w:rPr>
        <w:t> </w:t>
      </w:r>
      <w:r>
        <w:rPr>
          <w:rFonts w:ascii="Times New Roman" w:hAnsi="Times New Roman"/>
          <w:b/>
          <w:w w:val="70"/>
          <w:sz w:val="92"/>
        </w:rPr>
        <w:t>12641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360" w:lineRule="auto" w:before="0" w:after="0"/>
        <w:ind w:left="953" w:right="130" w:firstLine="0"/>
        <w:jc w:val="both"/>
        <w:rPr>
          <w:sz w:val="24"/>
        </w:rPr>
      </w:pPr>
      <w:r>
        <w:rPr>
          <w:sz w:val="24"/>
        </w:rPr>
        <w:t>Detalle de los honorarios por administración, importe total y período al que corresponde, en caso de</w:t>
      </w:r>
      <w:r>
        <w:rPr>
          <w:spacing w:val="-2"/>
          <w:sz w:val="24"/>
        </w:rPr>
        <w:t> </w:t>
      </w:r>
      <w:r>
        <w:rPr>
          <w:sz w:val="24"/>
        </w:rPr>
        <w:t>corresponder;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</w:tabs>
        <w:spacing w:line="360" w:lineRule="auto" w:before="1" w:after="0"/>
        <w:ind w:left="953" w:right="127" w:firstLine="0"/>
        <w:jc w:val="both"/>
        <w:rPr>
          <w:sz w:val="24"/>
        </w:rPr>
      </w:pPr>
      <w:r>
        <w:rPr>
          <w:sz w:val="24"/>
        </w:rPr>
        <w:t>En caso que existieran juicios por cobro de expensas o por otras causas en los que el consorcio sea parte, se indicará en la liquidación mensual todos los datos del mismo (número de juzgado interviniente, expediente, carátula, objeto y estado) y capital</w:t>
      </w:r>
      <w:r>
        <w:rPr>
          <w:spacing w:val="-8"/>
          <w:sz w:val="24"/>
        </w:rPr>
        <w:t> </w:t>
      </w:r>
      <w:r>
        <w:rPr>
          <w:sz w:val="24"/>
        </w:rPr>
        <w:t>reclamado;</w:t>
      </w: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360" w:lineRule="auto" w:before="0" w:after="0"/>
        <w:ind w:left="953" w:right="129" w:firstLine="0"/>
        <w:jc w:val="both"/>
        <w:rPr>
          <w:sz w:val="24"/>
        </w:rPr>
      </w:pPr>
      <w:r>
        <w:rPr>
          <w:sz w:val="24"/>
        </w:rPr>
        <w:t>Incluir el resumen de movimientos de la cuenta bancaria del consorcio correspondiente al mes anterior (en el caso de</w:t>
      </w:r>
      <w:r>
        <w:rPr>
          <w:spacing w:val="-9"/>
          <w:sz w:val="24"/>
        </w:rPr>
        <w:t> </w:t>
      </w:r>
      <w:r>
        <w:rPr>
          <w:sz w:val="24"/>
        </w:rPr>
        <w:t>corresponder);</w:t>
      </w:r>
    </w:p>
    <w:p>
      <w:pPr>
        <w:pStyle w:val="ListParagraph"/>
        <w:numPr>
          <w:ilvl w:val="0"/>
          <w:numId w:val="1"/>
        </w:numPr>
        <w:tabs>
          <w:tab w:pos="1204" w:val="left" w:leader="none"/>
        </w:tabs>
        <w:spacing w:line="360" w:lineRule="auto" w:before="0" w:after="0"/>
        <w:ind w:left="953" w:right="126" w:firstLine="0"/>
        <w:jc w:val="both"/>
        <w:rPr>
          <w:sz w:val="24"/>
        </w:rPr>
      </w:pPr>
      <w:r>
        <w:rPr>
          <w:sz w:val="24"/>
        </w:rPr>
        <w:t>Detallar los movimientos mensuales del fondo de reserva, indicando el saldo al inicio, reposición del mes, gastos en los cuales se aplicó y saldo al finalizar el</w:t>
      </w:r>
      <w:r>
        <w:rPr>
          <w:spacing w:val="-2"/>
          <w:sz w:val="24"/>
        </w:rPr>
        <w:t> </w:t>
      </w:r>
      <w:r>
        <w:rPr>
          <w:sz w:val="24"/>
        </w:rPr>
        <w:t>período;</w:t>
      </w:r>
    </w:p>
    <w:p>
      <w:pPr>
        <w:pStyle w:val="ListParagraph"/>
        <w:numPr>
          <w:ilvl w:val="0"/>
          <w:numId w:val="1"/>
        </w:numPr>
        <w:tabs>
          <w:tab w:pos="1348" w:val="left" w:leader="none"/>
        </w:tabs>
        <w:spacing w:line="360" w:lineRule="auto" w:before="1" w:after="0"/>
        <w:ind w:left="953" w:right="127" w:firstLine="0"/>
        <w:jc w:val="both"/>
        <w:rPr>
          <w:sz w:val="24"/>
        </w:rPr>
      </w:pPr>
      <w:r>
        <w:rPr>
          <w:sz w:val="24"/>
        </w:rPr>
        <w:t>Discriminar las expensas ordinarias y extraordinarias, con detalle pormenorizado de gastos correspondientes a cada concepto, indicando los montos totales a abonar, generando un comprobante de pago para las expensas ordinarias y otro para expensas extraordinarias, cada recibo a nombre de quien se encuentre obligado al</w:t>
      </w:r>
      <w:r>
        <w:rPr>
          <w:spacing w:val="-7"/>
          <w:sz w:val="24"/>
        </w:rPr>
        <w:t> </w:t>
      </w:r>
      <w:r>
        <w:rPr>
          <w:sz w:val="24"/>
        </w:rPr>
        <w:t>pago;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360" w:lineRule="auto" w:before="0" w:after="0"/>
        <w:ind w:left="953" w:right="128" w:firstLine="0"/>
        <w:jc w:val="both"/>
        <w:rPr>
          <w:sz w:val="24"/>
        </w:rPr>
      </w:pPr>
      <w:r>
        <w:rPr>
          <w:sz w:val="24"/>
        </w:rPr>
        <w:t>Colocar al pie de la liquidación de expensas una leyenda con la definición de expensa ordinaria y extraordinaria, según la conceptualización contenida en el Código Civil y Comercial Nacional vigente, conforme al texto indicado en el artículo 2º de la</w:t>
      </w:r>
      <w:r>
        <w:rPr>
          <w:spacing w:val="-3"/>
          <w:sz w:val="24"/>
        </w:rPr>
        <w:t> </w:t>
      </w:r>
      <w:r>
        <w:rPr>
          <w:sz w:val="24"/>
        </w:rPr>
        <w:t>presente.</w:t>
      </w:r>
    </w:p>
    <w:p>
      <w:pPr>
        <w:pStyle w:val="BodyText"/>
        <w:spacing w:line="360" w:lineRule="auto"/>
        <w:ind w:right="127" w:hanging="852"/>
      </w:pPr>
      <w:r>
        <w:rPr>
          <w:b/>
          <w:u w:val="thick"/>
        </w:rPr>
        <w:t>Art. 2º:</w:t>
      </w:r>
      <w:r>
        <w:rPr>
          <w:b/>
        </w:rPr>
        <w:t> </w:t>
      </w:r>
      <w:r>
        <w:rPr/>
        <w:t>A fin de cumplimentar con lo dispuesto en el artículo precedente, sin que implique contradecir o establecer un estatus supletorio al instituido por el orden jurídico vigente, se entenderá por expensa ordinaria y extraordinaria lo siguiente:</w:t>
      </w:r>
    </w:p>
    <w:p>
      <w:pPr>
        <w:pStyle w:val="BodyText"/>
        <w:spacing w:line="360" w:lineRule="auto"/>
        <w:ind w:right="128"/>
      </w:pPr>
      <w:r>
        <w:rPr>
          <w:i/>
        </w:rPr>
        <w:t>Expensa ordinaria</w:t>
      </w:r>
      <w:r>
        <w:rPr/>
        <w:t>: aquella que corresponda o sea imputable a gasto referido al giro normal y habitual, de carácter previsible y periódico, para la conservación de las cosas y partes comunes e indivisas de la propiedad horizontal. A título enunciativo, se incluyen las erogaciones realizadas en</w:t>
      </w:r>
    </w:p>
    <w:p>
      <w:pPr>
        <w:spacing w:after="0" w:line="360" w:lineRule="auto"/>
        <w:sectPr>
          <w:pgSz w:w="11910" w:h="16840"/>
          <w:pgMar w:header="712" w:footer="1172" w:top="1660" w:bottom="1360" w:left="1600" w:right="1000"/>
        </w:sectPr>
      </w:pPr>
    </w:p>
    <w:p>
      <w:pPr>
        <w:spacing w:before="136"/>
        <w:ind w:left="4971" w:right="0" w:firstLine="0"/>
        <w:jc w:val="left"/>
        <w:rPr>
          <w:rFonts w:ascii="Times New Roman" w:hAnsi="Times New Roman"/>
          <w:b/>
          <w:sz w:val="92"/>
        </w:rPr>
      </w:pPr>
      <w:r>
        <w:rPr>
          <w:w w:val="70"/>
          <w:sz w:val="48"/>
        </w:rPr>
        <w:t>ORDENANZA Nº</w:t>
      </w:r>
      <w:r>
        <w:rPr>
          <w:spacing w:val="-67"/>
          <w:w w:val="70"/>
          <w:sz w:val="48"/>
        </w:rPr>
        <w:t> </w:t>
      </w:r>
      <w:r>
        <w:rPr>
          <w:rFonts w:ascii="Times New Roman" w:hAnsi="Times New Roman"/>
          <w:b/>
          <w:w w:val="70"/>
          <w:sz w:val="92"/>
        </w:rPr>
        <w:t>12641</w:t>
      </w:r>
    </w:p>
    <w:p>
      <w:pPr>
        <w:pStyle w:val="BodyText"/>
        <w:spacing w:line="360" w:lineRule="auto"/>
        <w:ind w:right="127"/>
      </w:pPr>
      <w:r>
        <w:rPr/>
        <w:t>concepto de mantenimiento de cosas y espacios de uso común, abono, gasto de portería, limpieza, impuestos, entre otros gastos no atribuibles a las unidades</w:t>
      </w:r>
      <w:r>
        <w:rPr>
          <w:spacing w:val="-3"/>
        </w:rPr>
        <w:t> </w:t>
      </w:r>
      <w:r>
        <w:rPr/>
        <w:t>funcionales.</w:t>
      </w:r>
    </w:p>
    <w:p>
      <w:pPr>
        <w:pStyle w:val="BodyText"/>
        <w:spacing w:line="360" w:lineRule="auto"/>
        <w:ind w:right="127"/>
      </w:pPr>
      <w:r>
        <w:rPr>
          <w:i/>
        </w:rPr>
        <w:t>Expensa extraordinaria</w:t>
      </w:r>
      <w:r>
        <w:rPr/>
        <w:t>: aquellos gastos para la conservación de las cosas y partes comunes e indivisas de la propiedad horizontal que no encuadren como expensa ordinaria, por su naturaleza excepcional, atípica, de carácter imprevisible y/o inhabitual, tales como los gastos realizados en concepto de arreglos, reparaciones, roturas, gastos de juicios, indemnización, entre otros.</w:t>
      </w:r>
    </w:p>
    <w:p>
      <w:pPr>
        <w:pStyle w:val="BodyText"/>
        <w:spacing w:line="360" w:lineRule="auto" w:before="1"/>
        <w:ind w:right="127" w:hanging="852"/>
      </w:pPr>
      <w:r>
        <w:rPr>
          <w:b/>
          <w:u w:val="thick"/>
        </w:rPr>
        <w:t>Art. 3º:</w:t>
      </w:r>
      <w:r>
        <w:rPr>
          <w:b/>
        </w:rPr>
        <w:t> </w:t>
      </w:r>
      <w:r>
        <w:rPr/>
        <w:t>Los administradores de consorcios deben entregar a los copropietarios y/o inquilinos las liquidaciones de expensas en soporte papel o enviar por correo electrónico en formato digital, a opción del obligado del pago, efectuadas de conformidad con lo previsto en el artículo 1º, poniendo a disposición todos los comprobantes respaldatorios. En el caso que los copropietarios y/o inquilinos individualmente o en conjunto, deseen sustituir el envío de las liquidaciones respectivas, de formato papel a una versión digital o viceversa, deberán solicitarlo</w:t>
      </w:r>
      <w:r>
        <w:rPr>
          <w:spacing w:val="1"/>
        </w:rPr>
        <w:t> </w:t>
      </w:r>
      <w:r>
        <w:rPr/>
        <w:t>expresamente.</w:t>
      </w:r>
    </w:p>
    <w:p>
      <w:pPr>
        <w:pStyle w:val="BodyText"/>
        <w:spacing w:line="360" w:lineRule="auto"/>
        <w:ind w:right="127" w:hanging="852"/>
      </w:pPr>
      <w:r>
        <w:rPr>
          <w:b/>
          <w:u w:val="thick"/>
        </w:rPr>
        <w:t>Art. 4º:</w:t>
      </w:r>
      <w:r>
        <w:rPr>
          <w:b/>
        </w:rPr>
        <w:t> </w:t>
      </w:r>
      <w:r>
        <w:rPr/>
        <w:t>Los administradores de consorcios deberán extender los recibos de pagos de expensas, de acuerdo a la normativa</w:t>
      </w:r>
      <w:r>
        <w:rPr>
          <w:spacing w:val="-4"/>
        </w:rPr>
        <w:t> </w:t>
      </w:r>
      <w:r>
        <w:rPr/>
        <w:t>vigente.</w:t>
      </w:r>
    </w:p>
    <w:p>
      <w:pPr>
        <w:pStyle w:val="BodyText"/>
        <w:spacing w:line="360" w:lineRule="auto"/>
        <w:ind w:right="127" w:hanging="852"/>
      </w:pPr>
      <w:r>
        <w:rPr>
          <w:b/>
          <w:u w:val="thick"/>
        </w:rPr>
        <w:t>Art. 5º:</w:t>
      </w:r>
      <w:r>
        <w:rPr>
          <w:b/>
        </w:rPr>
        <w:t> </w:t>
      </w:r>
      <w:r>
        <w:rPr/>
        <w:t>La Oficina Municipal del Inquilino pondrá a disposición en el sitio web santafeciudad.gov.ar, los modelos digitales indicados en los artículos precedentes.</w:t>
      </w:r>
    </w:p>
    <w:p>
      <w:pPr>
        <w:pStyle w:val="BodyText"/>
        <w:spacing w:line="360" w:lineRule="auto"/>
        <w:ind w:right="126" w:hanging="852"/>
      </w:pPr>
      <w:r>
        <w:rPr>
          <w:b/>
          <w:u w:val="thick"/>
        </w:rPr>
        <w:t>Art. 6º:</w:t>
      </w:r>
      <w:r>
        <w:rPr>
          <w:b/>
        </w:rPr>
        <w:t> </w:t>
      </w:r>
      <w:r>
        <w:rPr/>
        <w:t>Facúltase a la Oficina Municipal del Inquilino a realizar acciones y medidas que fomenten una relación racional y adecuada entre el consorcista, el Consejo de Administración y el Administrador de Consorcios.</w:t>
      </w:r>
    </w:p>
    <w:p>
      <w:pPr>
        <w:pStyle w:val="BodyText"/>
        <w:spacing w:line="275" w:lineRule="exact"/>
        <w:ind w:left="101"/>
      </w:pPr>
      <w:r>
        <w:rPr>
          <w:b/>
          <w:u w:val="thick"/>
        </w:rPr>
        <w:t>Art. 7º:</w:t>
      </w:r>
      <w:r>
        <w:rPr>
          <w:b/>
        </w:rPr>
        <w:t> </w:t>
      </w:r>
      <w:r>
        <w:rPr/>
        <w:t>Comuníquese al Departamento Ejecutivo Municipal.</w:t>
      </w:r>
    </w:p>
    <w:p>
      <w:pPr>
        <w:pStyle w:val="Heading1"/>
        <w:spacing w:before="109"/>
        <w:jc w:val="both"/>
      </w:pPr>
      <w:r>
        <w:rPr/>
        <w:t>SALA DE SESIONES, 27 de junio de 2019.-</w:t>
      </w:r>
    </w:p>
    <w:p>
      <w:pPr>
        <w:spacing w:before="111"/>
        <w:ind w:left="101" w:right="3521" w:firstLine="0"/>
        <w:jc w:val="left"/>
        <w:rPr>
          <w:b/>
          <w:sz w:val="24"/>
        </w:rPr>
      </w:pPr>
      <w:bookmarkStart w:name="Presidente: Sr. Sebastián Atilio Alberto" w:id="2"/>
      <w:bookmarkEnd w:id="2"/>
      <w:r>
        <w:rPr/>
      </w:r>
      <w:r>
        <w:rPr>
          <w:b/>
          <w:sz w:val="24"/>
        </w:rPr>
        <w:t>Presidente: Sr. Sebastián Atilio Alberto Pignata Secretario Legislativo: Abog. Mariano Manuel Bär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2"/>
        <w:ind w:left="0"/>
        <w:jc w:val="left"/>
        <w:rPr>
          <w:b/>
          <w:sz w:val="20"/>
        </w:rPr>
      </w:pPr>
    </w:p>
    <w:p>
      <w:pPr>
        <w:spacing w:before="1"/>
        <w:ind w:left="0" w:right="109" w:firstLine="0"/>
        <w:jc w:val="right"/>
        <w:rPr>
          <w:sz w:val="18"/>
        </w:rPr>
      </w:pPr>
      <w:r>
        <w:rPr>
          <w:sz w:val="18"/>
        </w:rPr>
        <w:t>Expte.CO-0062-01592141-4(PC)</w:t>
      </w:r>
    </w:p>
    <w:p>
      <w:pPr>
        <w:spacing w:after="0"/>
        <w:jc w:val="right"/>
        <w:rPr>
          <w:sz w:val="18"/>
        </w:rPr>
        <w:sectPr>
          <w:pgSz w:w="11910" w:h="16840"/>
          <w:pgMar w:header="712" w:footer="1172" w:top="1660" w:bottom="1360" w:left="1600" w:right="1000"/>
        </w:sectPr>
      </w:pPr>
    </w:p>
    <w:p>
      <w:pPr>
        <w:tabs>
          <w:tab w:pos="1874" w:val="left" w:leader="none"/>
        </w:tabs>
        <w:spacing w:before="42"/>
        <w:ind w:left="0" w:right="181" w:firstLine="0"/>
        <w:jc w:val="right"/>
        <w:rPr>
          <w:rFonts w:ascii="Times New Roman" w:hAnsi="Times New Roman"/>
          <w:b/>
          <w:sz w:val="72"/>
        </w:rPr>
      </w:pPr>
      <w:bookmarkStart w:name="anexo ordenanza 12641" w:id="3"/>
      <w:bookmarkEnd w:id="3"/>
      <w:r>
        <w:rPr/>
      </w:r>
      <w:r>
        <w:rPr>
          <w:w w:val="55"/>
          <w:sz w:val="40"/>
        </w:rPr>
        <w:t>ORDENANZA</w:t>
      </w:r>
      <w:r>
        <w:rPr>
          <w:spacing w:val="43"/>
          <w:w w:val="55"/>
          <w:sz w:val="40"/>
        </w:rPr>
        <w:t> </w:t>
      </w:r>
      <w:r>
        <w:rPr>
          <w:w w:val="55"/>
          <w:sz w:val="40"/>
        </w:rPr>
        <w:t>Nº</w:t>
        <w:tab/>
      </w:r>
      <w:r>
        <w:rPr>
          <w:rFonts w:ascii="Times New Roman" w:hAnsi="Times New Roman"/>
          <w:b/>
          <w:spacing w:val="-1"/>
          <w:w w:val="90"/>
          <w:sz w:val="72"/>
        </w:rPr>
        <w:t>12641</w:t>
      </w:r>
    </w:p>
    <w:p>
      <w:pPr>
        <w:pStyle w:val="BodyText"/>
        <w:spacing w:before="9"/>
        <w:ind w:left="0"/>
        <w:jc w:val="left"/>
        <w:rPr>
          <w:rFonts w:ascii="Times New Roman"/>
          <w:b/>
          <w:sz w:val="21"/>
        </w:rPr>
      </w:pPr>
      <w:r>
        <w:rPr/>
        <w:pict>
          <v:group style="position:absolute;margin-left:72.959999pt;margin-top:14.482016pt;width:658.1pt;height:61.5pt;mso-position-horizontal-relative:page;mso-position-vertical-relative:paragraph;z-index:-15728640;mso-wrap-distance-left:0;mso-wrap-distance-right:0" coordorigin="1459,290" coordsize="13162,1230">
            <v:shape style="position:absolute;left:14572;top:1345;width:48;height:58" type="#_x0000_t75" stroked="false">
              <v:imagedata r:id="rId9" o:title=""/>
            </v:shape>
            <v:shape style="position:absolute;left:14572;top:462;width:48;height:231" type="#_x0000_t75" stroked="false">
              <v:imagedata r:id="rId10" o:title=""/>
            </v:shape>
            <v:shape style="position:absolute;left:10617;top:1480;width:2573;height:39" type="#_x0000_t75" stroked="false">
              <v:imagedata r:id="rId11" o:title=""/>
            </v:shape>
            <v:shape style="position:absolute;left:7238;top:1480;width:2573;height:39" type="#_x0000_t75" stroked="false">
              <v:imagedata r:id="rId12" o:title=""/>
            </v:shape>
            <v:shape style="position:absolute;left:2534;top:1249;width:3514;height:269" type="#_x0000_t75" stroked="false">
              <v:imagedata r:id="rId13" o:title=""/>
            </v:shape>
            <v:rect style="position:absolute;left:1459;top:289;width:13157;height:1224" filled="true" fillcolor="#b8b8b8" stroked="false">
              <v:fill type="solid"/>
            </v:rect>
            <w10:wrap type="topAndBottom"/>
          </v:group>
        </w:pict>
      </w:r>
    </w:p>
    <w:p>
      <w:pPr>
        <w:spacing w:line="217" w:lineRule="exact" w:before="0" w:after="4"/>
        <w:ind w:left="4463" w:right="5531" w:firstLine="0"/>
        <w:jc w:val="center"/>
        <w:rPr>
          <w:sz w:val="23"/>
        </w:rPr>
      </w:pPr>
      <w:r>
        <w:rPr>
          <w:color w:val="0C0C0C"/>
          <w:w w:val="80"/>
          <w:sz w:val="23"/>
        </w:rPr>
        <w:t>ESTADO </w:t>
      </w:r>
      <w:r>
        <w:rPr>
          <w:color w:val="0E0E0E"/>
          <w:w w:val="80"/>
          <w:sz w:val="23"/>
        </w:rPr>
        <w:t>DE </w:t>
      </w:r>
      <w:r>
        <w:rPr>
          <w:w w:val="80"/>
          <w:sz w:val="23"/>
        </w:rPr>
        <w:t>CUENTAS Y PRORRATEO</w:t>
      </w:r>
    </w:p>
    <w:p>
      <w:pPr>
        <w:pStyle w:val="BodyText"/>
        <w:ind w:left="110"/>
        <w:jc w:val="left"/>
        <w:rPr>
          <w:sz w:val="20"/>
        </w:rPr>
      </w:pPr>
      <w:r>
        <w:rPr>
          <w:sz w:val="20"/>
        </w:rPr>
        <w:pict>
          <v:group style="width:659.05pt;height:195.9pt;mso-position-horizontal-relative:char;mso-position-vertical-relative:line" coordorigin="0,0" coordsize="13181,3918">
            <v:shape style="position:absolute;left:0;top:0;width:13181;height:3918" type="#_x0000_t75" stroked="false">
              <v:imagedata r:id="rId14" o:title=""/>
            </v:shape>
            <v:shape style="position:absolute;left:59;top:104;width:224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U.F</w:t>
                    </w:r>
                  </w:p>
                </w:txbxContent>
              </v:textbox>
              <w10:wrap type="none"/>
            </v:shape>
            <v:shape style="position:absolute;left:2157;top:99;width:113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SALOO</w:t>
                    </w:r>
                    <w:r>
                      <w:rPr>
                        <w:spacing w:val="-17"/>
                        <w:w w:val="80"/>
                        <w:sz w:val="16"/>
                      </w:rPr>
                      <w:t> </w:t>
                    </w:r>
                    <w:r>
                      <w:rPr>
                        <w:w w:val="80"/>
                        <w:sz w:val="16"/>
                      </w:rPr>
                      <w:t>ANTERIOR</w:t>
                    </w:r>
                  </w:p>
                </w:txbxContent>
              </v:textbox>
              <w10:wrap type="none"/>
            </v:shape>
            <v:shape style="position:absolute;left:6015;top:95;width:651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75"/>
                        <w:sz w:val="17"/>
                      </w:rPr>
                      <w:t>GASTOS</w:t>
                    </w:r>
                    <w:r>
                      <w:rPr>
                        <w:spacing w:val="-14"/>
                        <w:w w:val="75"/>
                        <w:sz w:val="17"/>
                      </w:rPr>
                      <w:t> </w:t>
                    </w:r>
                    <w:r>
                      <w:rPr>
                        <w:w w:val="75"/>
                        <w:sz w:val="17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757;top:90;width:5370;height:190" type="#_x0000_t202" filled="false" stroked="false">
              <v:textbox inset="0,0,0,0">
                <w:txbxContent>
                  <w:p>
                    <w:pPr>
                      <w:tabs>
                        <w:tab w:pos="1915" w:val="left" w:leader="none"/>
                        <w:tab w:pos="3561" w:val="left" w:leader="none"/>
                        <w:tab w:pos="4785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1A1A1A"/>
                        <w:w w:val="85"/>
                        <w:sz w:val="17"/>
                      </w:rPr>
                      <w:t>GASTOS</w:t>
                    </w:r>
                    <w:r>
                      <w:rPr>
                        <w:color w:val="1A1A1A"/>
                        <w:spacing w:val="-24"/>
                        <w:w w:val="85"/>
                        <w:sz w:val="17"/>
                      </w:rPr>
                      <w:t> </w:t>
                    </w:r>
                    <w:r>
                      <w:rPr>
                        <w:color w:val="111111"/>
                        <w:w w:val="85"/>
                        <w:sz w:val="17"/>
                      </w:rPr>
                      <w:t>C</w:t>
                    </w:r>
                    <w:r>
                      <w:rPr>
                        <w:color w:val="111111"/>
                        <w:spacing w:val="-27"/>
                        <w:w w:val="85"/>
                        <w:sz w:val="17"/>
                      </w:rPr>
                      <w:t> </w:t>
                    </w:r>
                    <w:r>
                      <w:rPr>
                        <w:color w:val="232323"/>
                        <w:w w:val="85"/>
                        <w:sz w:val="17"/>
                      </w:rPr>
                      <w:t>CUOTA</w:t>
                    </w:r>
                    <w:r>
                      <w:rPr>
                        <w:color w:val="232323"/>
                        <w:spacing w:val="-34"/>
                        <w:w w:val="85"/>
                        <w:sz w:val="17"/>
                      </w:rPr>
                      <w:t> </w:t>
                    </w:r>
                    <w:r>
                      <w:rPr>
                        <w:w w:val="85"/>
                        <w:sz w:val="17"/>
                      </w:rPr>
                      <w:t>EXTRA</w:t>
                      <w:tab/>
                    </w:r>
                    <w:r>
                      <w:rPr>
                        <w:color w:val="3F3F3F"/>
                        <w:w w:val="70"/>
                        <w:sz w:val="17"/>
                      </w:rPr>
                      <w:t>GASTOS</w:t>
                    </w:r>
                    <w:r>
                      <w:rPr>
                        <w:color w:val="3F3F3F"/>
                        <w:spacing w:val="4"/>
                        <w:w w:val="70"/>
                        <w:sz w:val="17"/>
                      </w:rPr>
                      <w:t> </w:t>
                    </w:r>
                    <w:r>
                      <w:rPr>
                        <w:w w:val="70"/>
                        <w:sz w:val="17"/>
                      </w:rPr>
                      <w:t>PARTICULARES</w:t>
                      <w:tab/>
                    </w:r>
                    <w:r>
                      <w:rPr>
                        <w:w w:val="90"/>
                        <w:sz w:val="17"/>
                      </w:rPr>
                      <w:t>REDONDEO</w:t>
                      <w:tab/>
                      <w:t>TOTAL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left="0"/>
        <w:jc w:val="left"/>
        <w:rPr>
          <w:sz w:val="19"/>
        </w:rPr>
      </w:pPr>
      <w:r>
        <w:rPr/>
        <w:pict>
          <v:group style="position:absolute;margin-left:71.519997pt;margin-top:12.921pt;width:657.6pt;height:16.850pt;mso-position-horizontal-relative:page;mso-position-vertical-relative:paragraph;z-index:-15725568;mso-wrap-distance-left:0;mso-wrap-distance-right:0" coordorigin="1430,258" coordsize="13152,337">
            <v:shape style="position:absolute;left:12566;top:268;width:2016;height:327" type="#_x0000_t75" stroked="false">
              <v:imagedata r:id="rId15" o:title=""/>
            </v:shape>
            <v:shape style="position:absolute;left:6633;top:364;width:3783;height:231" type="#_x0000_t75" stroked="false">
              <v:imagedata r:id="rId16" o:title=""/>
            </v:shape>
            <v:shape style="position:absolute;left:3561;top:556;width:2573;height:39" type="#_x0000_t75" stroked="false">
              <v:imagedata r:id="rId17" o:title=""/>
            </v:shape>
            <v:rect style="position:absolute;left:1430;top:258;width:13148;height:332" filled="true" fillcolor="#000000" stroked="false">
              <v:fill type="solid"/>
            </v:rect>
            <w10:wrap type="topAndBottom"/>
          </v:group>
        </w:pict>
      </w:r>
      <w:r>
        <w:rPr/>
        <w:pict>
          <v:shape style="position:absolute;margin-left:71.519997pt;margin-top:43.646988pt;width:656.4pt;height:.1pt;mso-position-horizontal-relative:page;mso-position-vertical-relative:paragraph;z-index:-15725056;mso-wrap-distance-left:0;mso-wrap-distance-right:0" coordorigin="1430,873" coordsize="13128,0" path="m1430,873l14558,873e" filled="false" stroked="true" strokeweight="1.920376pt" strokecolor="#2a2a2a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spacing w:before="36" w:after="31"/>
        <w:ind w:left="137" w:right="0" w:firstLine="0"/>
        <w:jc w:val="left"/>
        <w:rPr>
          <w:sz w:val="15"/>
        </w:rPr>
      </w:pPr>
      <w:r>
        <w:rPr>
          <w:w w:val="90"/>
          <w:sz w:val="15"/>
        </w:rPr>
        <w:t>DEPOSITO 0 TRANSFERENCIA</w:t>
      </w:r>
    </w:p>
    <w:p>
      <w:pPr>
        <w:pStyle w:val="BodyText"/>
        <w:ind w:left="12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8331597" cy="585215"/>
            <wp:effectExtent l="0" t="0" r="0" b="0"/>
            <wp:docPr id="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597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headerReference w:type="default" r:id="rId7"/>
      <w:footerReference w:type="default" r:id="rId8"/>
      <w:pgSz w:w="15840" w:h="12250" w:orient="landscape"/>
      <w:pgMar w:header="0" w:footer="0" w:top="720" w:bottom="280" w:left="13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515648">
          <wp:simplePos x="0" y="0"/>
          <wp:positionH relativeFrom="page">
            <wp:posOffset>2208466</wp:posOffset>
          </wp:positionH>
          <wp:positionV relativeFrom="page">
            <wp:posOffset>9820903</wp:posOffset>
          </wp:positionV>
          <wp:extent cx="3514496" cy="289299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14496" cy="289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514112">
          <wp:simplePos x="0" y="0"/>
          <wp:positionH relativeFrom="page">
            <wp:posOffset>6538976</wp:posOffset>
          </wp:positionH>
          <wp:positionV relativeFrom="page">
            <wp:posOffset>670877</wp:posOffset>
          </wp:positionV>
          <wp:extent cx="288415" cy="38933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8415" cy="389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4624">
          <wp:simplePos x="0" y="0"/>
          <wp:positionH relativeFrom="page">
            <wp:posOffset>1100296</wp:posOffset>
          </wp:positionH>
          <wp:positionV relativeFrom="page">
            <wp:posOffset>784748</wp:posOffset>
          </wp:positionV>
          <wp:extent cx="2148230" cy="25468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48230" cy="25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8.960022pt;margin-top:34.576702pt;width:12.7pt;height:15.45pt;mso-position-horizontal-relative:page;mso-position-vertical-relative:page;z-index:-1580134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313" w:hanging="360"/>
        <w:jc w:val="left"/>
      </w:pPr>
      <w:rPr>
        <w:rFonts w:hint="default" w:ascii="Arial" w:hAnsi="Arial" w:eastAsia="Arial" w:cs="Arial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1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953"/>
      <w:jc w:val="both"/>
    </w:pPr>
    <w:rPr>
      <w:rFonts w:ascii="Arial" w:hAnsi="Arial" w:eastAsia="Arial" w:cs="Arial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53" w:right="129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2020-09-04T17:42:06Z</dcterms:created>
  <dcterms:modified xsi:type="dcterms:W3CDTF">2020-09-04T17:42:06Z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Adobe Acrobat Pro 10.1.3</vt:lpwstr>
  </property>
  <property fmtid="{D5CDD505-2E9C-101B-9397-08002B2CF9AE}" pid="4" name="LastSaved">
    <vt:filetime>2020-09-04T00:00:00Z</vt:filetime>
  </property>
</Properties>
</file>